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246" w:rsidRPr="003C4613" w:rsidRDefault="003C4613" w:rsidP="008A71A0">
      <w:pPr>
        <w:pStyle w:val="BodyText"/>
        <w:ind w:left="567"/>
        <w:jc w:val="both"/>
        <w:rPr>
          <w:rFonts w:ascii="Times New Roman" w:hAnsi="Times New Roman" w:cs="Times New Roman"/>
          <w:b/>
          <w:sz w:val="32"/>
        </w:rPr>
      </w:pPr>
      <w:r w:rsidRPr="003C4613">
        <w:rPr>
          <w:rFonts w:ascii="Times New Roman" w:hAnsi="Times New Roman" w:cs="Times New Roman"/>
        </w:rPr>
        <w:drawing>
          <wp:anchor distT="0" distB="0" distL="114300" distR="114300" simplePos="0" relativeHeight="251658240" behindDoc="0" locked="0" layoutInCell="1" allowOverlap="1" wp14:anchorId="3541AA76">
            <wp:simplePos x="0" y="0"/>
            <wp:positionH relativeFrom="column">
              <wp:posOffset>310515</wp:posOffset>
            </wp:positionH>
            <wp:positionV relativeFrom="paragraph">
              <wp:posOffset>-584997</wp:posOffset>
            </wp:positionV>
            <wp:extent cx="6007396" cy="5785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12000"/>
                              </a14:imgEffect>
                              <a14:imgEffect>
                                <a14:brightnessContrast bright="5000" contrast="10000"/>
                              </a14:imgEffect>
                            </a14:imgLayer>
                          </a14:imgProps>
                        </a:ext>
                        <a:ext uri="{28A0092B-C50C-407E-A947-70E740481C1C}">
                          <a14:useLocalDpi xmlns:a14="http://schemas.microsoft.com/office/drawing/2010/main" val="0"/>
                        </a:ext>
                      </a:extLst>
                    </a:blip>
                    <a:stretch>
                      <a:fillRect/>
                    </a:stretch>
                  </pic:blipFill>
                  <pic:spPr>
                    <a:xfrm>
                      <a:off x="0" y="0"/>
                      <a:ext cx="6007396" cy="578595"/>
                    </a:xfrm>
                    <a:prstGeom prst="rect">
                      <a:avLst/>
                    </a:prstGeom>
                  </pic:spPr>
                </pic:pic>
              </a:graphicData>
            </a:graphic>
            <wp14:sizeRelH relativeFrom="margin">
              <wp14:pctWidth>0</wp14:pctWidth>
            </wp14:sizeRelH>
            <wp14:sizeRelV relativeFrom="margin">
              <wp14:pctHeight>0</wp14:pctHeight>
            </wp14:sizeRelV>
          </wp:anchor>
        </w:drawing>
      </w:r>
      <w:r w:rsidR="00D63246" w:rsidRPr="003C4613">
        <w:rPr>
          <w:rFonts w:ascii="Times New Roman" w:hAnsi="Times New Roman" w:cs="Times New Roman"/>
          <w:b/>
          <w:sz w:val="32"/>
        </w:rPr>
        <w:t xml:space="preserve">NỘI KIỂM </w:t>
      </w:r>
      <w:r w:rsidR="00DD13E9" w:rsidRPr="003C4613">
        <w:rPr>
          <w:rFonts w:ascii="Times New Roman" w:hAnsi="Times New Roman" w:cs="Times New Roman"/>
          <w:b/>
          <w:sz w:val="32"/>
        </w:rPr>
        <w:t>HUYẾT HỌC</w:t>
      </w:r>
      <w:r w:rsidR="00D63246" w:rsidRPr="003C4613">
        <w:rPr>
          <w:rFonts w:ascii="Times New Roman" w:hAnsi="Times New Roman" w:cs="Times New Roman"/>
          <w:b/>
          <w:sz w:val="32"/>
        </w:rPr>
        <w:t xml:space="preserve"> - MỨ</w:t>
      </w:r>
      <w:r w:rsidR="00477B8F" w:rsidRPr="003C4613">
        <w:rPr>
          <w:rFonts w:ascii="Times New Roman" w:hAnsi="Times New Roman" w:cs="Times New Roman"/>
          <w:b/>
          <w:sz w:val="32"/>
        </w:rPr>
        <w:t xml:space="preserve">C </w:t>
      </w:r>
      <w:r w:rsidR="00DD13E9" w:rsidRPr="003C4613">
        <w:rPr>
          <w:rFonts w:ascii="Times New Roman" w:hAnsi="Times New Roman" w:cs="Times New Roman"/>
          <w:b/>
          <w:sz w:val="32"/>
        </w:rPr>
        <w:t>1,2,3</w:t>
      </w:r>
    </w:p>
    <w:p w:rsidR="00DD13E9" w:rsidRPr="003C4613" w:rsidRDefault="00DD13E9" w:rsidP="008A71A0">
      <w:pPr>
        <w:tabs>
          <w:tab w:val="left" w:pos="3920"/>
        </w:tabs>
        <w:ind w:left="567" w:right="1008"/>
        <w:jc w:val="both"/>
        <w:rPr>
          <w:rFonts w:ascii="Times New Roman" w:hAnsi="Times New Roman" w:cs="Times New Roman"/>
          <w:b/>
          <w:sz w:val="26"/>
          <w:szCs w:val="26"/>
        </w:rPr>
      </w:pPr>
      <w:r w:rsidRPr="003C4613">
        <w:rPr>
          <w:rFonts w:ascii="Times New Roman" w:hAnsi="Times New Roman" w:cs="Times New Roman"/>
          <w:b/>
          <w:sz w:val="26"/>
          <w:szCs w:val="26"/>
        </w:rPr>
        <w:t xml:space="preserve">(HAEM CNTL - LEVEL 1, 2, 3) </w:t>
      </w:r>
    </w:p>
    <w:p w:rsidR="007618A0" w:rsidRPr="003C4613" w:rsidRDefault="00D63246" w:rsidP="008A71A0">
      <w:pPr>
        <w:tabs>
          <w:tab w:val="left" w:pos="4962"/>
        </w:tabs>
        <w:spacing w:before="233"/>
        <w:ind w:left="567" w:right="1008"/>
        <w:jc w:val="both"/>
        <w:rPr>
          <w:rFonts w:ascii="Times New Roman" w:hAnsi="Times New Roman" w:cs="Times New Roman"/>
        </w:rPr>
      </w:pPr>
      <w:r w:rsidRPr="003C4613">
        <w:rPr>
          <w:rFonts w:ascii="Times New Roman" w:hAnsi="Times New Roman" w:cs="Times New Roman"/>
          <w:b/>
          <w:spacing w:val="-3"/>
        </w:rPr>
        <w:t>MÃ SẢN PHẨM</w:t>
      </w:r>
      <w:r w:rsidR="00D2328D" w:rsidRPr="003C4613">
        <w:rPr>
          <w:rFonts w:ascii="Times New Roman" w:hAnsi="Times New Roman" w:cs="Times New Roman"/>
          <w:b/>
        </w:rPr>
        <w:t>:</w:t>
      </w:r>
      <w:r w:rsidRPr="003C4613">
        <w:rPr>
          <w:rFonts w:ascii="Times New Roman" w:hAnsi="Times New Roman" w:cs="Times New Roman"/>
          <w:b/>
          <w:spacing w:val="62"/>
        </w:rPr>
        <w:t xml:space="preserve"> </w:t>
      </w:r>
      <w:r w:rsidR="00DD13E9" w:rsidRPr="003C4613">
        <w:rPr>
          <w:rFonts w:ascii="Times New Roman" w:hAnsi="Times New Roman" w:cs="Times New Roman"/>
        </w:rPr>
        <w:t xml:space="preserve">HM5162 </w:t>
      </w:r>
      <w:r w:rsidR="00A02CEB">
        <w:rPr>
          <w:rFonts w:ascii="Times New Roman" w:hAnsi="Times New Roman" w:cs="Times New Roman"/>
        </w:rPr>
        <w:tab/>
      </w:r>
      <w:r w:rsidR="003C4613" w:rsidRPr="003C4613">
        <w:rPr>
          <w:rFonts w:ascii="Times New Roman" w:hAnsi="Times New Roman" w:cs="Times New Roman"/>
          <w:b/>
        </w:rPr>
        <w:t>SỐ LÔ</w:t>
      </w:r>
      <w:r w:rsidR="00D2328D" w:rsidRPr="003C4613">
        <w:rPr>
          <w:rFonts w:ascii="Times New Roman" w:hAnsi="Times New Roman" w:cs="Times New Roman"/>
          <w:b/>
        </w:rPr>
        <w:t xml:space="preserve">: </w:t>
      </w:r>
      <w:r w:rsidR="00D2328D" w:rsidRPr="003C4613">
        <w:rPr>
          <w:rFonts w:ascii="Times New Roman" w:hAnsi="Times New Roman" w:cs="Times New Roman"/>
        </w:rPr>
        <w:t xml:space="preserve">Xem trên </w:t>
      </w:r>
      <w:r w:rsidR="004A228B" w:rsidRPr="003C4613">
        <w:rPr>
          <w:rFonts w:ascii="Times New Roman" w:hAnsi="Times New Roman" w:cs="Times New Roman"/>
        </w:rPr>
        <w:t>nhãn chính</w:t>
      </w:r>
      <w:r w:rsidR="00D2328D" w:rsidRPr="003C4613">
        <w:rPr>
          <w:rFonts w:ascii="Times New Roman" w:hAnsi="Times New Roman" w:cs="Times New Roman"/>
          <w:b/>
        </w:rPr>
        <w:t xml:space="preserve"> </w:t>
      </w:r>
    </w:p>
    <w:p w:rsidR="00A02CEB" w:rsidRDefault="00D2328D" w:rsidP="008A71A0">
      <w:pPr>
        <w:tabs>
          <w:tab w:val="left" w:pos="1380"/>
          <w:tab w:val="left" w:pos="3920"/>
          <w:tab w:val="left" w:pos="5103"/>
        </w:tabs>
        <w:spacing w:before="33"/>
        <w:ind w:left="567" w:right="576"/>
        <w:jc w:val="both"/>
        <w:rPr>
          <w:rFonts w:ascii="Times New Roman" w:hAnsi="Times New Roman" w:cs="Times New Roman"/>
        </w:rPr>
      </w:pPr>
      <w:r w:rsidRPr="003C4613">
        <w:rPr>
          <w:rFonts w:ascii="Times New Roman" w:hAnsi="Times New Roman" w:cs="Times New Roman"/>
          <w:b/>
          <w:spacing w:val="-3"/>
        </w:rPr>
        <w:t>ĐÓNG GÓI</w:t>
      </w:r>
      <w:r w:rsidR="00D63246" w:rsidRPr="003C4613">
        <w:rPr>
          <w:rFonts w:ascii="Times New Roman" w:hAnsi="Times New Roman" w:cs="Times New Roman"/>
          <w:b/>
          <w:spacing w:val="-3"/>
        </w:rPr>
        <w:t>:</w:t>
      </w:r>
      <w:r w:rsidRPr="003C4613">
        <w:rPr>
          <w:rFonts w:ascii="Times New Roman" w:hAnsi="Times New Roman" w:cs="Times New Roman"/>
          <w:b/>
          <w:spacing w:val="-3"/>
        </w:rPr>
        <w:t xml:space="preserve">  </w:t>
      </w:r>
      <w:r w:rsidR="00DD13E9" w:rsidRPr="003C4613">
        <w:rPr>
          <w:rFonts w:ascii="Times New Roman" w:hAnsi="Times New Roman" w:cs="Times New Roman"/>
        </w:rPr>
        <w:t>3</w:t>
      </w:r>
      <w:r w:rsidR="00A02CEB">
        <w:rPr>
          <w:rFonts w:ascii="Times New Roman" w:hAnsi="Times New Roman" w:cs="Times New Roman"/>
        </w:rPr>
        <w:t xml:space="preserve"> </w:t>
      </w:r>
      <w:r w:rsidR="00DD13E9" w:rsidRPr="003C4613">
        <w:rPr>
          <w:rFonts w:ascii="Times New Roman" w:hAnsi="Times New Roman" w:cs="Times New Roman"/>
        </w:rPr>
        <w:t>x</w:t>
      </w:r>
      <w:r w:rsidR="00A02CEB">
        <w:rPr>
          <w:rFonts w:ascii="Times New Roman" w:hAnsi="Times New Roman" w:cs="Times New Roman"/>
        </w:rPr>
        <w:t xml:space="preserve"> </w:t>
      </w:r>
      <w:r w:rsidR="00DD13E9" w:rsidRPr="003C4613">
        <w:rPr>
          <w:rFonts w:ascii="Times New Roman" w:hAnsi="Times New Roman" w:cs="Times New Roman"/>
        </w:rPr>
        <w:t>2</w:t>
      </w:r>
      <w:r w:rsidR="00A02CEB">
        <w:rPr>
          <w:rFonts w:ascii="Times New Roman" w:hAnsi="Times New Roman" w:cs="Times New Roman"/>
        </w:rPr>
        <w:t xml:space="preserve"> </w:t>
      </w:r>
      <w:r w:rsidR="00DD13E9" w:rsidRPr="003C4613">
        <w:rPr>
          <w:rFonts w:ascii="Times New Roman" w:hAnsi="Times New Roman" w:cs="Times New Roman"/>
        </w:rPr>
        <w:t>x4.5</w:t>
      </w:r>
      <w:r w:rsidR="00D63246" w:rsidRPr="003C4613">
        <w:rPr>
          <w:rFonts w:ascii="Times New Roman" w:hAnsi="Times New Roman" w:cs="Times New Roman"/>
          <w:spacing w:val="-6"/>
        </w:rPr>
        <w:t xml:space="preserve"> </w:t>
      </w:r>
      <w:r w:rsidR="00D63246" w:rsidRPr="003C4613">
        <w:rPr>
          <w:rFonts w:ascii="Times New Roman" w:hAnsi="Times New Roman" w:cs="Times New Roman"/>
        </w:rPr>
        <w:t>ml</w:t>
      </w:r>
      <w:r w:rsidR="002D0B2D" w:rsidRPr="003C4613">
        <w:rPr>
          <w:rFonts w:ascii="Times New Roman" w:hAnsi="Times New Roman" w:cs="Times New Roman"/>
        </w:rPr>
        <w:tab/>
        <w:t xml:space="preserve">                   </w:t>
      </w:r>
      <w:r w:rsidR="004A228B" w:rsidRPr="003C4613">
        <w:rPr>
          <w:rFonts w:ascii="Times New Roman" w:hAnsi="Times New Roman" w:cs="Times New Roman"/>
          <w:b/>
        </w:rPr>
        <w:t>HẠN SỬ DỤNG</w:t>
      </w:r>
      <w:r w:rsidR="004A228B" w:rsidRPr="003C4613">
        <w:rPr>
          <w:rFonts w:ascii="Times New Roman" w:hAnsi="Times New Roman" w:cs="Times New Roman"/>
        </w:rPr>
        <w:t>: Xem trên nhãn chính</w:t>
      </w:r>
    </w:p>
    <w:p w:rsidR="004A228B" w:rsidRPr="003C4613" w:rsidRDefault="00A02CEB" w:rsidP="008A71A0">
      <w:pPr>
        <w:tabs>
          <w:tab w:val="left" w:pos="1380"/>
          <w:tab w:val="left" w:pos="3920"/>
          <w:tab w:val="left" w:pos="5103"/>
        </w:tabs>
        <w:spacing w:before="33"/>
        <w:ind w:left="567" w:right="576"/>
        <w:jc w:val="both"/>
        <w:rPr>
          <w:rFonts w:ascii="Times New Roman" w:hAnsi="Times New Roman" w:cs="Times New Roman"/>
        </w:rPr>
      </w:pPr>
      <w:r>
        <w:rPr>
          <w:rFonts w:ascii="Times New Roman" w:hAnsi="Times New Roman" w:cs="Times New Roman"/>
          <w:b/>
          <w:spacing w:val="-3"/>
        </w:rPr>
        <w:t>GTIN:</w:t>
      </w:r>
      <w:r>
        <w:rPr>
          <w:rFonts w:ascii="Times New Roman" w:hAnsi="Times New Roman" w:cs="Times New Roman"/>
        </w:rPr>
        <w:t xml:space="preserve"> </w:t>
      </w:r>
      <w:r w:rsidR="004A228B" w:rsidRPr="003C4613">
        <w:rPr>
          <w:rFonts w:ascii="Times New Roman" w:hAnsi="Times New Roman" w:cs="Times New Roman"/>
        </w:rPr>
        <w:t xml:space="preserve"> </w:t>
      </w:r>
      <w:r w:rsidRPr="003C4613">
        <w:rPr>
          <w:rFonts w:ascii="Times New Roman" w:hAnsi="Times New Roman" w:cs="Times New Roman"/>
        </w:rPr>
        <w:t>Xem trên nhãn chính</w:t>
      </w:r>
    </w:p>
    <w:p w:rsidR="007618A0" w:rsidRPr="003C4613" w:rsidRDefault="007618A0" w:rsidP="008A71A0">
      <w:pPr>
        <w:pStyle w:val="BodyText"/>
        <w:spacing w:before="8"/>
        <w:ind w:left="567"/>
        <w:jc w:val="both"/>
        <w:rPr>
          <w:rFonts w:ascii="Times New Roman" w:hAnsi="Times New Roman" w:cs="Times New Roman"/>
          <w:sz w:val="22"/>
          <w:szCs w:val="22"/>
        </w:rPr>
      </w:pPr>
    </w:p>
    <w:p w:rsidR="007618A0" w:rsidRPr="0075438A" w:rsidRDefault="00D2328D" w:rsidP="008A71A0">
      <w:pPr>
        <w:pStyle w:val="Heading1"/>
        <w:ind w:left="567" w:right="232"/>
        <w:jc w:val="both"/>
        <w:rPr>
          <w:rFonts w:ascii="Times New Roman" w:hAnsi="Times New Roman" w:cs="Times New Roman"/>
        </w:rPr>
      </w:pPr>
      <w:r w:rsidRPr="0075438A">
        <w:rPr>
          <w:rFonts w:ascii="Times New Roman" w:hAnsi="Times New Roman" w:cs="Times New Roman"/>
        </w:rPr>
        <w:t>MỤC ĐÍCH SỬ DỤNG</w:t>
      </w:r>
    </w:p>
    <w:p w:rsidR="007618A0" w:rsidRDefault="00D2328D" w:rsidP="008A71A0">
      <w:pPr>
        <w:pStyle w:val="BodyText"/>
        <w:spacing w:before="27" w:line="264" w:lineRule="auto"/>
        <w:ind w:left="567" w:right="232"/>
        <w:jc w:val="both"/>
        <w:rPr>
          <w:rFonts w:ascii="Times New Roman" w:hAnsi="Times New Roman" w:cs="Times New Roman"/>
        </w:rPr>
      </w:pPr>
      <w:r w:rsidRPr="0075438A">
        <w:rPr>
          <w:rFonts w:ascii="Times New Roman" w:hAnsi="Times New Roman" w:cs="Times New Roman"/>
        </w:rPr>
        <w:t>Sản phẩm này</w:t>
      </w:r>
      <w:r w:rsidR="00A02CEB" w:rsidRPr="0075438A">
        <w:rPr>
          <w:rFonts w:ascii="Times New Roman" w:hAnsi="Times New Roman" w:cs="Times New Roman"/>
        </w:rPr>
        <w:t xml:space="preserve"> chỉ</w:t>
      </w:r>
      <w:r w:rsidRPr="0075438A">
        <w:rPr>
          <w:rFonts w:ascii="Times New Roman" w:hAnsi="Times New Roman" w:cs="Times New Roman"/>
        </w:rPr>
        <w:t xml:space="preserve"> đượ</w:t>
      </w:r>
      <w:r w:rsidR="00744180" w:rsidRPr="0075438A">
        <w:rPr>
          <w:rFonts w:ascii="Times New Roman" w:hAnsi="Times New Roman" w:cs="Times New Roman"/>
        </w:rPr>
        <w:t>c s</w:t>
      </w:r>
      <w:r w:rsidRPr="0075438A">
        <w:rPr>
          <w:rFonts w:ascii="Times New Roman" w:hAnsi="Times New Roman" w:cs="Times New Roman"/>
        </w:rPr>
        <w:t>ử dụng cho chuẩn đoán</w:t>
      </w:r>
      <w:r w:rsidR="00D63246" w:rsidRPr="0075438A">
        <w:rPr>
          <w:rFonts w:ascii="Times New Roman" w:hAnsi="Times New Roman" w:cs="Times New Roman"/>
        </w:rPr>
        <w:t xml:space="preserve"> </w:t>
      </w:r>
      <w:r w:rsidR="00D63246" w:rsidRPr="0075438A">
        <w:rPr>
          <w:rFonts w:ascii="Times New Roman" w:hAnsi="Times New Roman" w:cs="Times New Roman"/>
          <w:i/>
        </w:rPr>
        <w:t>in vitro</w:t>
      </w:r>
      <w:r w:rsidR="00FA63A5" w:rsidRPr="0075438A">
        <w:rPr>
          <w:rFonts w:ascii="Times New Roman" w:hAnsi="Times New Roman" w:cs="Times New Roman"/>
        </w:rPr>
        <w:t>.</w:t>
      </w:r>
    </w:p>
    <w:p w:rsidR="00DB52FF" w:rsidRPr="0075438A" w:rsidRDefault="00DB52FF" w:rsidP="008A71A0">
      <w:pPr>
        <w:pStyle w:val="BodyText"/>
        <w:spacing w:before="27" w:line="264" w:lineRule="auto"/>
        <w:ind w:left="567" w:right="232"/>
        <w:jc w:val="both"/>
        <w:rPr>
          <w:rFonts w:ascii="Times New Roman" w:hAnsi="Times New Roman" w:cs="Times New Roman"/>
        </w:rPr>
      </w:pPr>
    </w:p>
    <w:p w:rsidR="007618A0" w:rsidRPr="0075438A" w:rsidRDefault="00A02CEB" w:rsidP="008A71A0">
      <w:pPr>
        <w:pStyle w:val="Heading1"/>
        <w:ind w:left="567" w:right="232"/>
        <w:jc w:val="both"/>
        <w:rPr>
          <w:rFonts w:ascii="Times New Roman" w:hAnsi="Times New Roman" w:cs="Times New Roman"/>
        </w:rPr>
      </w:pPr>
      <w:r w:rsidRPr="0075438A">
        <w:rPr>
          <w:rFonts w:ascii="Times New Roman" w:hAnsi="Times New Roman" w:cs="Times New Roman"/>
        </w:rPr>
        <w:t xml:space="preserve">CÁC LƯU Ý VÀ </w:t>
      </w:r>
      <w:r w:rsidR="00FB122D" w:rsidRPr="0075438A">
        <w:rPr>
          <w:rFonts w:ascii="Times New Roman" w:hAnsi="Times New Roman" w:cs="Times New Roman"/>
        </w:rPr>
        <w:t>CÁNH BÁO AN TOÀN</w:t>
      </w:r>
    </w:p>
    <w:p w:rsidR="007618A0" w:rsidRPr="0075438A" w:rsidRDefault="00FA63A5" w:rsidP="008A71A0">
      <w:pPr>
        <w:pStyle w:val="BodyText"/>
        <w:spacing w:before="27" w:line="264" w:lineRule="auto"/>
        <w:ind w:left="567" w:right="232"/>
        <w:jc w:val="both"/>
        <w:rPr>
          <w:rFonts w:ascii="Times New Roman" w:hAnsi="Times New Roman" w:cs="Times New Roman"/>
        </w:rPr>
      </w:pPr>
      <w:r w:rsidRPr="0075438A">
        <w:rPr>
          <w:rFonts w:ascii="Times New Roman" w:hAnsi="Times New Roman" w:cs="Times New Roman"/>
        </w:rPr>
        <w:t>Vật liệu sinh học có tiềm ẩn nguy hiểm</w:t>
      </w:r>
      <w:r w:rsidR="00D63246" w:rsidRPr="0075438A">
        <w:rPr>
          <w:rFonts w:ascii="Times New Roman" w:hAnsi="Times New Roman" w:cs="Times New Roman"/>
        </w:rPr>
        <w:t xml:space="preserve">. </w:t>
      </w:r>
      <w:r w:rsidR="00FB122D" w:rsidRPr="0075438A">
        <w:rPr>
          <w:rFonts w:ascii="Times New Roman" w:hAnsi="Times New Roman" w:cs="Times New Roman"/>
        </w:rPr>
        <w:t xml:space="preserve">Không được hút mẫu bằng miệng. </w:t>
      </w:r>
      <w:r w:rsidR="00A02CEB" w:rsidRPr="0075438A">
        <w:rPr>
          <w:rFonts w:ascii="Times New Roman" w:hAnsi="Times New Roman" w:cs="Times New Roman"/>
        </w:rPr>
        <w:t>Mỗi người hiến tặng đều được xét nghiệm bằng các phương pháp do FDA phê chuẩn để tìm</w:t>
      </w:r>
      <w:r w:rsidR="001F499B" w:rsidRPr="0075438A">
        <w:rPr>
          <w:rFonts w:ascii="Times New Roman" w:hAnsi="Times New Roman" w:cs="Times New Roman"/>
        </w:rPr>
        <w:t xml:space="preserve"> HBsAg và kháng thể </w:t>
      </w:r>
      <w:r w:rsidR="00A02CEB" w:rsidRPr="0075438A">
        <w:rPr>
          <w:rFonts w:ascii="Times New Roman" w:hAnsi="Times New Roman" w:cs="Times New Roman"/>
        </w:rPr>
        <w:t>HCV,</w:t>
      </w:r>
      <w:r w:rsidR="001F499B" w:rsidRPr="0075438A">
        <w:rPr>
          <w:rFonts w:ascii="Times New Roman" w:hAnsi="Times New Roman" w:cs="Times New Roman"/>
        </w:rPr>
        <w:t xml:space="preserve"> HIV</w:t>
      </w:r>
      <w:r w:rsidR="00A02CEB" w:rsidRPr="0075438A">
        <w:rPr>
          <w:rFonts w:ascii="Times New Roman" w:hAnsi="Times New Roman" w:cs="Times New Roman"/>
        </w:rPr>
        <w:t>-</w:t>
      </w:r>
      <w:r w:rsidR="001F499B" w:rsidRPr="0075438A">
        <w:rPr>
          <w:rFonts w:ascii="Times New Roman" w:hAnsi="Times New Roman" w:cs="Times New Roman"/>
        </w:rPr>
        <w:t>1,</w:t>
      </w:r>
      <w:r w:rsidR="00A02CEB" w:rsidRPr="0075438A">
        <w:rPr>
          <w:rFonts w:ascii="Times New Roman" w:hAnsi="Times New Roman" w:cs="Times New Roman"/>
        </w:rPr>
        <w:t xml:space="preserve"> HCV (RNA) và </w:t>
      </w:r>
      <w:r w:rsidR="001F499B" w:rsidRPr="0075438A">
        <w:rPr>
          <w:rFonts w:ascii="Times New Roman" w:hAnsi="Times New Roman" w:cs="Times New Roman"/>
        </w:rPr>
        <w:t>HIV</w:t>
      </w:r>
      <w:r w:rsidR="00A02CEB" w:rsidRPr="0075438A">
        <w:rPr>
          <w:rFonts w:ascii="Times New Roman" w:hAnsi="Times New Roman" w:cs="Times New Roman"/>
        </w:rPr>
        <w:t>-1/</w:t>
      </w:r>
      <w:r w:rsidR="001F499B" w:rsidRPr="0075438A">
        <w:rPr>
          <w:rFonts w:ascii="Times New Roman" w:hAnsi="Times New Roman" w:cs="Times New Roman"/>
        </w:rPr>
        <w:t xml:space="preserve">2 và </w:t>
      </w:r>
      <w:r w:rsidR="00A02CEB" w:rsidRPr="0075438A">
        <w:rPr>
          <w:rFonts w:ascii="Times New Roman" w:hAnsi="Times New Roman" w:cs="Times New Roman"/>
        </w:rPr>
        <w:t>cho kết quả âm tính</w:t>
      </w:r>
      <w:r w:rsidR="00D63246" w:rsidRPr="0075438A">
        <w:rPr>
          <w:rFonts w:ascii="Times New Roman" w:hAnsi="Times New Roman" w:cs="Times New Roman"/>
        </w:rPr>
        <w:t>.</w:t>
      </w:r>
      <w:r w:rsidR="00A02CEB" w:rsidRPr="0075438A">
        <w:rPr>
          <w:rFonts w:ascii="Times New Roman" w:hAnsi="Times New Roman" w:cs="Times New Roman"/>
        </w:rPr>
        <w:t xml:space="preserve"> Mỗi người hiến tặng cũng được phát hiện âm tính khi xét nghiệm </w:t>
      </w:r>
      <w:r w:rsidRPr="0075438A">
        <w:rPr>
          <w:rFonts w:ascii="Times New Roman" w:hAnsi="Times New Roman" w:cs="Times New Roman"/>
        </w:rPr>
        <w:t>huyết thanh học đối với Syphilis (RPR hoặc STS).</w:t>
      </w:r>
      <w:r w:rsidR="00FD65F2" w:rsidRPr="0075438A">
        <w:rPr>
          <w:rFonts w:ascii="Times New Roman" w:hAnsi="Times New Roman" w:cs="Times New Roman"/>
        </w:rPr>
        <w:t xml:space="preserve"> </w:t>
      </w:r>
      <w:r w:rsidR="0041779E" w:rsidRPr="0075438A">
        <w:rPr>
          <w:rFonts w:ascii="Times New Roman" w:hAnsi="Times New Roman" w:cs="Times New Roman"/>
        </w:rPr>
        <w:t>Tuy nhiên</w:t>
      </w:r>
      <w:r w:rsidR="00FD65F2" w:rsidRPr="0075438A">
        <w:rPr>
          <w:rFonts w:ascii="Times New Roman" w:hAnsi="Times New Roman" w:cs="Times New Roman"/>
        </w:rPr>
        <w:t xml:space="preserve">, </w:t>
      </w:r>
      <w:r w:rsidRPr="0075438A">
        <w:rPr>
          <w:rFonts w:ascii="Times New Roman" w:hAnsi="Times New Roman" w:cs="Times New Roman"/>
        </w:rPr>
        <w:t xml:space="preserve">khuyên cáo </w:t>
      </w:r>
      <w:r w:rsidR="0041779E" w:rsidRPr="0075438A">
        <w:rPr>
          <w:rFonts w:ascii="Times New Roman" w:hAnsi="Times New Roman" w:cs="Times New Roman"/>
        </w:rPr>
        <w:t>mẫu nội kiểm cần được xử lý theo quy trình xử lý mẫu có khả năng gây truyền nhiễm bệnh</w:t>
      </w:r>
      <w:r w:rsidRPr="0075438A">
        <w:rPr>
          <w:rFonts w:ascii="Times New Roman" w:hAnsi="Times New Roman" w:cs="Times New Roman"/>
        </w:rPr>
        <w:t xml:space="preserve"> và xử lý giống mẫu bệnh nhân</w:t>
      </w:r>
      <w:r w:rsidR="0041779E" w:rsidRPr="0075438A">
        <w:rPr>
          <w:rFonts w:ascii="Times New Roman" w:hAnsi="Times New Roman" w:cs="Times New Roman"/>
        </w:rPr>
        <w:t>.</w:t>
      </w:r>
    </w:p>
    <w:p w:rsidR="007618A0" w:rsidRDefault="0041779E" w:rsidP="008A71A0">
      <w:pPr>
        <w:pStyle w:val="BodyText"/>
        <w:ind w:left="567" w:right="232"/>
        <w:jc w:val="both"/>
        <w:rPr>
          <w:rFonts w:ascii="Times New Roman" w:hAnsi="Times New Roman" w:cs="Times New Roman"/>
        </w:rPr>
      </w:pPr>
      <w:r w:rsidRPr="0075438A">
        <w:rPr>
          <w:rFonts w:ascii="Times New Roman" w:hAnsi="Times New Roman" w:cs="Times New Roman"/>
        </w:rPr>
        <w:t>Bảng dữ liệu Y tế và an toàn được cung cấp theo yêu cầu</w:t>
      </w:r>
      <w:r w:rsidR="00D63246" w:rsidRPr="0075438A">
        <w:rPr>
          <w:rFonts w:ascii="Times New Roman" w:hAnsi="Times New Roman" w:cs="Times New Roman"/>
        </w:rPr>
        <w:t>.</w:t>
      </w:r>
    </w:p>
    <w:p w:rsidR="00DB52FF" w:rsidRPr="0075438A" w:rsidRDefault="00DB52FF" w:rsidP="008A71A0">
      <w:pPr>
        <w:pStyle w:val="BodyText"/>
        <w:ind w:left="567" w:right="232"/>
        <w:jc w:val="both"/>
        <w:rPr>
          <w:rFonts w:ascii="Times New Roman" w:hAnsi="Times New Roman" w:cs="Times New Roman"/>
        </w:rPr>
      </w:pPr>
    </w:p>
    <w:p w:rsidR="007618A0" w:rsidRPr="0075438A" w:rsidRDefault="00DE0F7D" w:rsidP="008A71A0">
      <w:pPr>
        <w:pStyle w:val="Heading1"/>
        <w:ind w:left="567" w:right="232"/>
        <w:jc w:val="both"/>
        <w:rPr>
          <w:rFonts w:ascii="Times New Roman" w:hAnsi="Times New Roman" w:cs="Times New Roman"/>
        </w:rPr>
      </w:pPr>
      <w:r w:rsidRPr="0075438A">
        <w:rPr>
          <w:rFonts w:ascii="Times New Roman" w:hAnsi="Times New Roman" w:cs="Times New Roman"/>
        </w:rPr>
        <w:t>ĐIỀU KIỆN BẢO QUẢN VÀ ĐỘ BỀN</w:t>
      </w:r>
    </w:p>
    <w:p w:rsidR="00FA63A5" w:rsidRPr="0075438A" w:rsidRDefault="00FD65F2" w:rsidP="008A71A0">
      <w:pPr>
        <w:pStyle w:val="BodyText"/>
        <w:spacing w:before="19"/>
        <w:ind w:left="567" w:right="232"/>
        <w:jc w:val="both"/>
        <w:rPr>
          <w:rFonts w:ascii="Times New Roman" w:hAnsi="Times New Roman" w:cs="Times New Roman"/>
        </w:rPr>
      </w:pPr>
      <w:r w:rsidRPr="0075438A">
        <w:rPr>
          <w:rFonts w:ascii="Times New Roman" w:hAnsi="Times New Roman" w:cs="Times New Roman"/>
        </w:rPr>
        <w:t>M</w:t>
      </w:r>
      <w:r w:rsidR="00FA63A5" w:rsidRPr="0075438A">
        <w:rPr>
          <w:rFonts w:ascii="Times New Roman" w:hAnsi="Times New Roman" w:cs="Times New Roman"/>
        </w:rPr>
        <w:t>ẫu</w:t>
      </w:r>
      <w:r w:rsidRPr="0075438A">
        <w:rPr>
          <w:rFonts w:ascii="Times New Roman" w:hAnsi="Times New Roman" w:cs="Times New Roman"/>
        </w:rPr>
        <w:t xml:space="preserve"> phải luôn được bảo quản</w:t>
      </w:r>
      <w:r w:rsidR="00FA63A5" w:rsidRPr="0075438A">
        <w:rPr>
          <w:rFonts w:ascii="Times New Roman" w:hAnsi="Times New Roman" w:cs="Times New Roman"/>
        </w:rPr>
        <w:t xml:space="preserve"> thẳng đứng ở nhiệt độ +2</w:t>
      </w:r>
      <w:r w:rsidR="00FA63A5" w:rsidRPr="0075438A">
        <w:rPr>
          <w:rFonts w:ascii="Times New Roman" w:hAnsi="Times New Roman" w:cs="Times New Roman"/>
          <w:position w:val="8"/>
        </w:rPr>
        <w:t>o</w:t>
      </w:r>
      <w:r w:rsidR="00FA63A5" w:rsidRPr="0075438A">
        <w:rPr>
          <w:rFonts w:ascii="Times New Roman" w:hAnsi="Times New Roman" w:cs="Times New Roman"/>
        </w:rPr>
        <w:t>C đến +8</w:t>
      </w:r>
      <w:r w:rsidR="00FA63A5" w:rsidRPr="0075438A">
        <w:rPr>
          <w:rFonts w:ascii="Times New Roman" w:hAnsi="Times New Roman" w:cs="Times New Roman"/>
          <w:position w:val="8"/>
        </w:rPr>
        <w:t>o</w:t>
      </w:r>
      <w:r w:rsidR="00FA63A5" w:rsidRPr="0075438A">
        <w:rPr>
          <w:rFonts w:ascii="Times New Roman" w:hAnsi="Times New Roman" w:cs="Times New Roman"/>
        </w:rPr>
        <w:t xml:space="preserve">C khi </w:t>
      </w:r>
      <w:r w:rsidRPr="0075438A">
        <w:rPr>
          <w:rFonts w:ascii="Times New Roman" w:hAnsi="Times New Roman" w:cs="Times New Roman"/>
        </w:rPr>
        <w:t>không</w:t>
      </w:r>
      <w:r w:rsidR="00FA63A5" w:rsidRPr="0075438A">
        <w:rPr>
          <w:rFonts w:ascii="Times New Roman" w:hAnsi="Times New Roman" w:cs="Times New Roman"/>
        </w:rPr>
        <w:t xml:space="preserve"> sử dụng.</w:t>
      </w:r>
      <w:r w:rsidRPr="0075438A">
        <w:rPr>
          <w:rFonts w:ascii="Times New Roman" w:hAnsi="Times New Roman" w:cs="Times New Roman"/>
        </w:rPr>
        <w:t xml:space="preserve"> </w:t>
      </w:r>
      <w:r w:rsidR="00FA63A5" w:rsidRPr="0075438A">
        <w:rPr>
          <w:rFonts w:ascii="Times New Roman" w:hAnsi="Times New Roman" w:cs="Times New Roman"/>
        </w:rPr>
        <w:t>Không để</w:t>
      </w:r>
      <w:r w:rsidRPr="0075438A">
        <w:rPr>
          <w:rFonts w:ascii="Times New Roman" w:hAnsi="Times New Roman" w:cs="Times New Roman"/>
        </w:rPr>
        <w:t xml:space="preserve"> ống ở</w:t>
      </w:r>
      <w:r w:rsidR="00FA63A5" w:rsidRPr="0075438A">
        <w:rPr>
          <w:rFonts w:ascii="Times New Roman" w:hAnsi="Times New Roman" w:cs="Times New Roman"/>
        </w:rPr>
        <w:t xml:space="preserve"> nhiệt độ quá cao hoặc quá thấp</w:t>
      </w:r>
      <w:r w:rsidRPr="0075438A">
        <w:rPr>
          <w:rFonts w:ascii="Times New Roman" w:hAnsi="Times New Roman" w:cs="Times New Roman"/>
        </w:rPr>
        <w:t>. Các ống đã mở nắp ổn định trong 14 ngày nếu chúng được xử lý đúng cách như các mô tả đã nêu ở trên.</w:t>
      </w:r>
    </w:p>
    <w:p w:rsidR="00FD65F2" w:rsidRPr="0075438A" w:rsidRDefault="00FD65F2" w:rsidP="00FD65F2">
      <w:pPr>
        <w:pStyle w:val="BodyText"/>
        <w:spacing w:before="19"/>
        <w:ind w:left="1134" w:right="232"/>
        <w:jc w:val="both"/>
        <w:rPr>
          <w:rFonts w:ascii="Times New Roman" w:hAnsi="Times New Roman" w:cs="Times New Roman"/>
        </w:rPr>
      </w:pPr>
    </w:p>
    <w:p w:rsidR="007618A0" w:rsidRPr="0075438A" w:rsidRDefault="00974FD4" w:rsidP="008A71A0">
      <w:pPr>
        <w:pStyle w:val="Heading1"/>
        <w:ind w:left="567" w:right="232"/>
        <w:jc w:val="both"/>
        <w:rPr>
          <w:rFonts w:ascii="Times New Roman" w:hAnsi="Times New Roman" w:cs="Times New Roman"/>
        </w:rPr>
      </w:pPr>
      <w:r w:rsidRPr="0075438A">
        <w:rPr>
          <w:rFonts w:ascii="Times New Roman" w:hAnsi="Times New Roman" w:cs="Times New Roman"/>
        </w:rPr>
        <w:t>CHUẨN BỊ MẪU</w:t>
      </w:r>
    </w:p>
    <w:p w:rsidR="00FD65F2" w:rsidRPr="0075438A" w:rsidRDefault="00FD65F2" w:rsidP="00FD65F2">
      <w:pPr>
        <w:pStyle w:val="BodyText"/>
        <w:numPr>
          <w:ilvl w:val="0"/>
          <w:numId w:val="1"/>
        </w:numPr>
        <w:spacing w:before="27"/>
        <w:ind w:right="232"/>
        <w:jc w:val="both"/>
        <w:rPr>
          <w:rFonts w:ascii="Times New Roman" w:hAnsi="Times New Roman" w:cs="Times New Roman"/>
        </w:rPr>
      </w:pPr>
      <w:r w:rsidRPr="0075438A">
        <w:rPr>
          <w:rFonts w:ascii="Times New Roman" w:hAnsi="Times New Roman" w:cs="Times New Roman"/>
        </w:rPr>
        <w:t>Lấy ống mẫu cần phân tích ra khỏi tủ lạnh và để mẫu ấm ở nhiệt độ phòng trong vòng 15 phút.</w:t>
      </w:r>
    </w:p>
    <w:p w:rsidR="007618A0" w:rsidRPr="0075438A" w:rsidRDefault="00FD65F2" w:rsidP="00FD65F2">
      <w:pPr>
        <w:pStyle w:val="BodyText"/>
        <w:numPr>
          <w:ilvl w:val="0"/>
          <w:numId w:val="1"/>
        </w:numPr>
        <w:spacing w:before="27"/>
        <w:ind w:right="232"/>
        <w:jc w:val="both"/>
        <w:rPr>
          <w:rFonts w:ascii="Times New Roman" w:hAnsi="Times New Roman" w:cs="Times New Roman"/>
        </w:rPr>
      </w:pPr>
      <w:r w:rsidRPr="0075438A">
        <w:rPr>
          <w:rFonts w:ascii="Times New Roman" w:hAnsi="Times New Roman" w:cs="Times New Roman"/>
        </w:rPr>
        <w:t>Trộn mẫu bằng cách giữ ống nằm ngang trong lòng bàn tay. Không trộn trước bằng máy</w:t>
      </w:r>
      <w:r w:rsidR="00695D90" w:rsidRPr="0075438A">
        <w:rPr>
          <w:rFonts w:ascii="Times New Roman" w:hAnsi="Times New Roman" w:cs="Times New Roman"/>
        </w:rPr>
        <w:t xml:space="preserve"> trộn</w:t>
      </w:r>
      <w:r w:rsidRPr="0075438A">
        <w:rPr>
          <w:rFonts w:ascii="Times New Roman" w:hAnsi="Times New Roman" w:cs="Times New Roman"/>
        </w:rPr>
        <w:t>.</w:t>
      </w:r>
    </w:p>
    <w:p w:rsidR="00FD65F2" w:rsidRPr="0075438A" w:rsidRDefault="00FD65F2" w:rsidP="00FD65F2">
      <w:pPr>
        <w:pStyle w:val="BodyText"/>
        <w:spacing w:before="27"/>
        <w:ind w:left="1494" w:right="232"/>
        <w:jc w:val="both"/>
        <w:rPr>
          <w:rFonts w:ascii="Times New Roman" w:hAnsi="Times New Roman" w:cs="Times New Roman"/>
        </w:rPr>
      </w:pPr>
      <w:r w:rsidRPr="0075438A">
        <w:rPr>
          <w:rFonts w:ascii="Times New Roman" w:hAnsi="Times New Roman" w:cs="Times New Roman"/>
        </w:rPr>
        <w:t xml:space="preserve">Việc </w:t>
      </w:r>
      <w:r w:rsidR="00695D90" w:rsidRPr="0075438A">
        <w:rPr>
          <w:rFonts w:ascii="Times New Roman" w:hAnsi="Times New Roman" w:cs="Times New Roman"/>
        </w:rPr>
        <w:t xml:space="preserve">không trộn ống đều trước khi phân tích sẽ </w:t>
      </w:r>
      <w:r w:rsidR="009F2D61" w:rsidRPr="0075438A">
        <w:rPr>
          <w:rFonts w:ascii="Times New Roman" w:hAnsi="Times New Roman" w:cs="Times New Roman"/>
        </w:rPr>
        <w:t>làm mất hiệu lực của mẫu được hút ra và mọi vật liệu còn lại trong ống.</w:t>
      </w:r>
    </w:p>
    <w:p w:rsidR="009F2D61" w:rsidRPr="0075438A" w:rsidRDefault="009F2D61" w:rsidP="009F2D61">
      <w:pPr>
        <w:pStyle w:val="BodyText"/>
        <w:numPr>
          <w:ilvl w:val="0"/>
          <w:numId w:val="2"/>
        </w:numPr>
        <w:spacing w:before="27"/>
        <w:ind w:right="232"/>
        <w:jc w:val="both"/>
        <w:rPr>
          <w:rFonts w:ascii="Times New Roman" w:hAnsi="Times New Roman" w:cs="Times New Roman"/>
        </w:rPr>
      </w:pPr>
      <w:r w:rsidRPr="0075438A">
        <w:rPr>
          <w:rFonts w:ascii="Times New Roman" w:hAnsi="Times New Roman" w:cs="Times New Roman"/>
        </w:rPr>
        <w:t>Lăn tròn ống qua lại trong 20 đến 30 giây, thỉnh thoảng đảo ngược ống. Trộn mạnh nhưng không lắc.</w:t>
      </w:r>
    </w:p>
    <w:p w:rsidR="009F2D61" w:rsidRPr="0075438A" w:rsidRDefault="009F2D61" w:rsidP="009F2D61">
      <w:pPr>
        <w:pStyle w:val="BodyText"/>
        <w:numPr>
          <w:ilvl w:val="0"/>
          <w:numId w:val="2"/>
        </w:numPr>
        <w:spacing w:before="27"/>
        <w:ind w:right="232"/>
        <w:jc w:val="both"/>
        <w:rPr>
          <w:rFonts w:ascii="Times New Roman" w:hAnsi="Times New Roman" w:cs="Times New Roman"/>
        </w:rPr>
      </w:pPr>
      <w:r w:rsidRPr="0075438A">
        <w:rPr>
          <w:rFonts w:ascii="Times New Roman" w:hAnsi="Times New Roman" w:cs="Times New Roman"/>
        </w:rPr>
        <w:t>Tiếp tục trộn theo cách này cho đến khi hồng cầu hoàn toàn lơ lửng.</w:t>
      </w:r>
    </w:p>
    <w:p w:rsidR="009F2D61" w:rsidRPr="0075438A" w:rsidRDefault="009F2D61" w:rsidP="009F2D61">
      <w:pPr>
        <w:pStyle w:val="BodyText"/>
        <w:numPr>
          <w:ilvl w:val="0"/>
          <w:numId w:val="2"/>
        </w:numPr>
        <w:spacing w:before="27"/>
        <w:ind w:right="232"/>
        <w:jc w:val="both"/>
        <w:rPr>
          <w:rFonts w:ascii="Times New Roman" w:hAnsi="Times New Roman" w:cs="Times New Roman"/>
        </w:rPr>
      </w:pPr>
      <w:r w:rsidRPr="0075438A">
        <w:rPr>
          <w:rFonts w:ascii="Times New Roman" w:hAnsi="Times New Roman" w:cs="Times New Roman"/>
        </w:rPr>
        <w:t>Đảo ngược nhẹ ống 8 đến 10 lần ngay trước khi phân tích mẫu.</w:t>
      </w:r>
    </w:p>
    <w:p w:rsidR="009F2D61" w:rsidRPr="0075438A" w:rsidRDefault="009F2D61" w:rsidP="009F2D61">
      <w:pPr>
        <w:pStyle w:val="BodyText"/>
        <w:numPr>
          <w:ilvl w:val="0"/>
          <w:numId w:val="1"/>
        </w:numPr>
        <w:spacing w:before="27"/>
        <w:ind w:right="232"/>
        <w:jc w:val="both"/>
        <w:rPr>
          <w:rFonts w:ascii="Times New Roman" w:hAnsi="Times New Roman" w:cs="Times New Roman"/>
        </w:rPr>
      </w:pPr>
      <w:r w:rsidRPr="0075438A">
        <w:rPr>
          <w:rFonts w:ascii="Times New Roman" w:hAnsi="Times New Roman" w:cs="Times New Roman"/>
        </w:rPr>
        <w:t>Sau khi lấy mẫu:</w:t>
      </w:r>
    </w:p>
    <w:p w:rsidR="009F2D61" w:rsidRPr="0075438A" w:rsidRDefault="009F2D61" w:rsidP="009F2D61">
      <w:pPr>
        <w:pStyle w:val="BodyText"/>
        <w:numPr>
          <w:ilvl w:val="0"/>
          <w:numId w:val="3"/>
        </w:numPr>
        <w:spacing w:before="27"/>
        <w:ind w:right="232"/>
        <w:jc w:val="both"/>
        <w:rPr>
          <w:rFonts w:ascii="Times New Roman" w:hAnsi="Times New Roman" w:cs="Times New Roman"/>
        </w:rPr>
      </w:pPr>
      <w:r w:rsidRPr="0075438A">
        <w:rPr>
          <w:rFonts w:ascii="Times New Roman" w:hAnsi="Times New Roman" w:cs="Times New Roman"/>
        </w:rPr>
        <w:t>Xữ lý mẫu tự động: Lấy ống ra khỏi bộ xử lý mẫu ngay sau khi lấy mẫu.</w:t>
      </w:r>
    </w:p>
    <w:p w:rsidR="009F2D61" w:rsidRPr="0075438A" w:rsidRDefault="009F2D61" w:rsidP="009F2D61">
      <w:pPr>
        <w:pStyle w:val="BodyText"/>
        <w:numPr>
          <w:ilvl w:val="0"/>
          <w:numId w:val="3"/>
        </w:numPr>
        <w:spacing w:before="27"/>
        <w:ind w:right="232"/>
        <w:jc w:val="both"/>
        <w:rPr>
          <w:rFonts w:ascii="Times New Roman" w:hAnsi="Times New Roman" w:cs="Times New Roman"/>
        </w:rPr>
      </w:pPr>
      <w:r w:rsidRPr="0075438A">
        <w:rPr>
          <w:rFonts w:ascii="Times New Roman" w:hAnsi="Times New Roman" w:cs="Times New Roman"/>
        </w:rPr>
        <w:t>Xử lý mẫu thủ công: Cần thận lau mép ống và nắm bằng khăn giấy không có xơ và đậy nắp lại.</w:t>
      </w:r>
    </w:p>
    <w:p w:rsidR="009F2D61" w:rsidRPr="0075438A" w:rsidRDefault="009F2D61" w:rsidP="009F2D61">
      <w:pPr>
        <w:pStyle w:val="BodyText"/>
        <w:numPr>
          <w:ilvl w:val="0"/>
          <w:numId w:val="1"/>
        </w:numPr>
        <w:spacing w:before="27"/>
        <w:ind w:right="232"/>
        <w:jc w:val="both"/>
        <w:rPr>
          <w:rFonts w:ascii="Times New Roman" w:hAnsi="Times New Roman" w:cs="Times New Roman"/>
        </w:rPr>
      </w:pPr>
      <w:r w:rsidRPr="0075438A">
        <w:rPr>
          <w:rFonts w:ascii="Times New Roman" w:hAnsi="Times New Roman" w:cs="Times New Roman"/>
        </w:rPr>
        <w:t>Cho ống vào tủ lạnh trong vòng 30 phút sau khi sử dụng.</w:t>
      </w:r>
    </w:p>
    <w:p w:rsidR="007618A0" w:rsidRPr="0075438A" w:rsidRDefault="007618A0" w:rsidP="00FD65F2">
      <w:pPr>
        <w:pStyle w:val="BodyText"/>
        <w:spacing w:before="2"/>
        <w:ind w:left="1134" w:right="232"/>
        <w:jc w:val="both"/>
        <w:rPr>
          <w:rFonts w:ascii="Times New Roman" w:hAnsi="Times New Roman" w:cs="Times New Roman"/>
        </w:rPr>
      </w:pPr>
    </w:p>
    <w:p w:rsidR="007618A0" w:rsidRPr="0075438A" w:rsidRDefault="0001062C" w:rsidP="008A71A0">
      <w:pPr>
        <w:pStyle w:val="Heading1"/>
        <w:spacing w:before="1"/>
        <w:ind w:left="567" w:right="232"/>
        <w:jc w:val="both"/>
        <w:rPr>
          <w:rFonts w:ascii="Times New Roman" w:hAnsi="Times New Roman" w:cs="Times New Roman"/>
        </w:rPr>
      </w:pPr>
      <w:r w:rsidRPr="0075438A">
        <w:rPr>
          <w:rFonts w:ascii="Times New Roman" w:hAnsi="Times New Roman" w:cs="Times New Roman"/>
        </w:rPr>
        <w:t>XÁC LẬP GIÁ TRỊ ĐÍCH</w:t>
      </w:r>
    </w:p>
    <w:p w:rsidR="009F2D61" w:rsidRPr="0075438A" w:rsidRDefault="009F2D61" w:rsidP="008A71A0">
      <w:pPr>
        <w:pStyle w:val="BodyText"/>
        <w:spacing w:before="39" w:line="280" w:lineRule="auto"/>
        <w:ind w:left="567" w:right="232"/>
        <w:jc w:val="both"/>
        <w:rPr>
          <w:rFonts w:ascii="Times New Roman" w:hAnsi="Times New Roman" w:cs="Times New Roman"/>
        </w:rPr>
      </w:pPr>
      <w:r w:rsidRPr="0075438A">
        <w:rPr>
          <w:rFonts w:ascii="Times New Roman" w:hAnsi="Times New Roman" w:cs="Times New Roman"/>
        </w:rPr>
        <w:t>Do sự khác biệt bởi các thiết bị thử nghiệm, thuốc thử thử nghiệm và kỹ thuật phòng xét nghiệm</w:t>
      </w:r>
      <w:r w:rsidR="0075438A" w:rsidRPr="0075438A">
        <w:rPr>
          <w:rFonts w:ascii="Times New Roman" w:hAnsi="Times New Roman" w:cs="Times New Roman"/>
        </w:rPr>
        <w:t>, phạm vi giá trị được được cung cấp theo hướng dẫn. Nên sử dụng các phạm vi này cho đến khi mỗi phõng xét nghiệm thiết lập các phạm vi riêng, dựa trên yêu cầu của từng phòng.</w:t>
      </w:r>
    </w:p>
    <w:p w:rsidR="0075438A" w:rsidRPr="0075438A" w:rsidRDefault="0075438A" w:rsidP="008A71A0">
      <w:pPr>
        <w:pStyle w:val="BodyText"/>
        <w:spacing w:before="39" w:line="280" w:lineRule="auto"/>
        <w:ind w:left="567" w:right="706"/>
        <w:jc w:val="both"/>
        <w:rPr>
          <w:rFonts w:ascii="Times New Roman" w:hAnsi="Times New Roman" w:cs="Times New Roman"/>
        </w:rPr>
      </w:pPr>
      <w:r w:rsidRPr="0075438A">
        <w:rPr>
          <w:rFonts w:ascii="Times New Roman" w:hAnsi="Times New Roman" w:cs="Times New Roman"/>
        </w:rPr>
        <w:t>Các giá trị được chỉ định có nguồn gốc từ thử nghiệm lặp lại.</w:t>
      </w:r>
    </w:p>
    <w:p w:rsidR="0075438A" w:rsidRPr="0075438A" w:rsidRDefault="0075438A" w:rsidP="008A71A0">
      <w:pPr>
        <w:pStyle w:val="BodyText"/>
        <w:spacing w:before="39" w:line="280" w:lineRule="auto"/>
        <w:ind w:left="567" w:right="706"/>
        <w:jc w:val="both"/>
        <w:rPr>
          <w:rFonts w:ascii="Times New Roman" w:hAnsi="Times New Roman" w:cs="Times New Roman"/>
        </w:rPr>
      </w:pPr>
      <w:r w:rsidRPr="0075438A">
        <w:rPr>
          <w:rFonts w:ascii="Times New Roman" w:hAnsi="Times New Roman" w:cs="Times New Roman"/>
        </w:rPr>
        <w:t>Tham khảo CD đi kèm trong bộ sản phẩm để biết giá trị. Có thể sử dụng đĩa CD đi kèm để tải các giá trị và phạm vi kiểm soát trên các thiết bị Sysmex như sau: XN 1000 và XS-1000i</w:t>
      </w:r>
    </w:p>
    <w:p w:rsidR="0075438A" w:rsidRDefault="0075438A" w:rsidP="008A71A0">
      <w:pPr>
        <w:pStyle w:val="BodyText"/>
        <w:spacing w:before="39" w:line="280" w:lineRule="auto"/>
        <w:ind w:left="567" w:right="706"/>
        <w:jc w:val="both"/>
        <w:rPr>
          <w:rFonts w:ascii="Times New Roman" w:hAnsi="Times New Roman" w:cs="Times New Roman"/>
        </w:rPr>
      </w:pPr>
      <w:r w:rsidRPr="0075438A">
        <w:rPr>
          <w:rFonts w:ascii="Times New Roman" w:hAnsi="Times New Roman" w:cs="Times New Roman"/>
        </w:rPr>
        <w:t>Các giá trị cũng được cung cấp cho máy phân tích Mindray BC-6600 và BC-6800 nhưng CD sẽ không tự động tải lên các thiết bị này. Các giá trị được cung cấp chỉ mang tính hướng dẫn.</w:t>
      </w:r>
    </w:p>
    <w:p w:rsidR="0075438A" w:rsidRDefault="008A71A0" w:rsidP="008A71A0">
      <w:pPr>
        <w:pStyle w:val="BodyText"/>
        <w:spacing w:before="39" w:line="280" w:lineRule="auto"/>
        <w:ind w:left="567" w:right="706"/>
        <w:jc w:val="both"/>
        <w:rPr>
          <w:rFonts w:ascii="Times New Roman" w:hAnsi="Times New Roman" w:cs="Times New Roman"/>
        </w:rPr>
      </w:pPr>
      <w:r>
        <w:rPr>
          <w:rFonts w:ascii="Times New Roman" w:hAnsi="Times New Roman" w:cs="Times New Roman"/>
        </w:rPr>
        <w:t xml:space="preserve">Bạn có thể tìm thấy hướng dẫn tải lên các giá trị trong hướng dẫn sử dụng của thiết bị liên quan. Trong trường hợp không có hướng dẫn, vui lòng liên hệ với </w:t>
      </w:r>
      <w:hyperlink r:id="rId9" w:history="1">
        <w:r w:rsidRPr="00EB39D6">
          <w:rPr>
            <w:rStyle w:val="Hyperlink"/>
            <w:rFonts w:ascii="Times New Roman" w:hAnsi="Times New Roman" w:cs="Times New Roman"/>
          </w:rPr>
          <w:t>application@randox.com</w:t>
        </w:r>
      </w:hyperlink>
      <w:r>
        <w:rPr>
          <w:rFonts w:ascii="Times New Roman" w:hAnsi="Times New Roman" w:cs="Times New Roman"/>
        </w:rPr>
        <w:t>.</w:t>
      </w:r>
    </w:p>
    <w:p w:rsidR="008A71A0" w:rsidRDefault="008A71A0" w:rsidP="008A71A0">
      <w:pPr>
        <w:pStyle w:val="BodyText"/>
        <w:spacing w:before="39" w:line="280" w:lineRule="auto"/>
        <w:ind w:left="567" w:right="706"/>
        <w:jc w:val="both"/>
        <w:rPr>
          <w:rFonts w:ascii="Times New Roman" w:hAnsi="Times New Roman" w:cs="Times New Roman"/>
        </w:rPr>
      </w:pPr>
      <w:r>
        <w:rPr>
          <w:rFonts w:ascii="Times New Roman" w:hAnsi="Times New Roman" w:cs="Times New Roman"/>
        </w:rPr>
        <w:t>Các giá trị đưuọc hiện thị trong các bảng dưới đây.</w:t>
      </w:r>
      <w:bookmarkStart w:id="0" w:name="_GoBack"/>
      <w:bookmarkEnd w:id="0"/>
    </w:p>
    <w:p w:rsidR="008A71A0" w:rsidRDefault="008A71A0" w:rsidP="008A71A0">
      <w:pPr>
        <w:pStyle w:val="BodyText"/>
        <w:spacing w:before="39" w:line="280" w:lineRule="auto"/>
        <w:ind w:left="567" w:right="706"/>
        <w:jc w:val="both"/>
        <w:rPr>
          <w:rFonts w:ascii="Times New Roman" w:hAnsi="Times New Roman" w:cs="Times New Roman"/>
        </w:rPr>
      </w:pPr>
      <w:r>
        <w:rPr>
          <w:rFonts w:ascii="Times New Roman" w:hAnsi="Times New Roman" w:cs="Times New Roman"/>
        </w:rPr>
        <w:t>Vật liệu kiểm soát Huyết học có thể không phù hợp để kiểm soát NRBC# và Basophil trên một số mẫu Sysmex. Những chất phân tích này hiện diện ở mức cơ bản và một số thiết bị sẽ không thể phát hiện được.</w:t>
      </w:r>
    </w:p>
    <w:p w:rsidR="00BF63BF" w:rsidRPr="0075438A" w:rsidRDefault="00BF63BF" w:rsidP="008A71A0">
      <w:pPr>
        <w:pStyle w:val="BodyText"/>
        <w:spacing w:before="39" w:line="280" w:lineRule="auto"/>
        <w:ind w:left="567" w:right="706"/>
        <w:jc w:val="both"/>
        <w:rPr>
          <w:rFonts w:ascii="Times New Roman" w:hAnsi="Times New Roman" w:cs="Times New Roman"/>
        </w:rPr>
      </w:pPr>
      <w:r>
        <w:rPr>
          <w:rFonts w:ascii="Times New Roman" w:hAnsi="Times New Roman" w:cs="Times New Roman"/>
        </w:rPr>
        <w:t xml:space="preserve">Các giá trị cho Platelet-O (PLT-O) có thể không tự động tải lên máy phân tích XN Series. Do đó, người dùng nên nhập thủ công các giá trị cho PLT-O vào máy của họ. Giá trị PLT-O cho được hiển thị trong bản bên dưới. </w:t>
      </w:r>
    </w:p>
    <w:sectPr w:rsidR="00BF63BF" w:rsidRPr="0075438A">
      <w:headerReference w:type="default" r:id="rId10"/>
      <w:footerReference w:type="default" r:id="rId11"/>
      <w:pgSz w:w="11900" w:h="16850"/>
      <w:pgMar w:top="1520" w:right="660" w:bottom="980" w:left="660" w:header="964"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1FC" w:rsidRDefault="00FB61FC">
      <w:r>
        <w:separator/>
      </w:r>
    </w:p>
  </w:endnote>
  <w:endnote w:type="continuationSeparator" w:id="0">
    <w:p w:rsidR="00FB61FC" w:rsidRDefault="00FB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3A5" w:rsidRDefault="003C4613">
    <w:pPr>
      <w:pStyle w:val="BodyText"/>
      <w:spacing w:line="14" w:lineRule="auto"/>
    </w:pPr>
    <w:r w:rsidRPr="003C4613">
      <w:drawing>
        <wp:anchor distT="0" distB="0" distL="114300" distR="114300" simplePos="0" relativeHeight="503288472" behindDoc="0" locked="0" layoutInCell="1" allowOverlap="1" wp14:anchorId="4004F8F1">
          <wp:simplePos x="0" y="0"/>
          <wp:positionH relativeFrom="column">
            <wp:posOffset>87630</wp:posOffset>
          </wp:positionH>
          <wp:positionV relativeFrom="paragraph">
            <wp:posOffset>-260512</wp:posOffset>
          </wp:positionV>
          <wp:extent cx="6326077" cy="5758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10000"/>
                            </a14:imgEffect>
                            <a14:imgEffect>
                              <a14:brightnessContrast bright="5000" contrast="5000"/>
                            </a14:imgEffect>
                          </a14:imgLayer>
                        </a14:imgProps>
                      </a:ext>
                      <a:ext uri="{28A0092B-C50C-407E-A947-70E740481C1C}">
                        <a14:useLocalDpi xmlns:a14="http://schemas.microsoft.com/office/drawing/2010/main" val="0"/>
                      </a:ext>
                    </a:extLst>
                  </a:blip>
                  <a:stretch>
                    <a:fillRect/>
                  </a:stretch>
                </pic:blipFill>
                <pic:spPr>
                  <a:xfrm>
                    <a:off x="0" y="0"/>
                    <a:ext cx="6326077" cy="575805"/>
                  </a:xfrm>
                  <a:prstGeom prst="rect">
                    <a:avLst/>
                  </a:prstGeom>
                </pic:spPr>
              </pic:pic>
            </a:graphicData>
          </a:graphic>
          <wp14:sizeRelH relativeFrom="margin">
            <wp14:pctWidth>0</wp14:pctWidth>
          </wp14:sizeRelH>
          <wp14:sizeRelV relativeFrom="margin">
            <wp14:pctHeight>0</wp14:pctHeight>
          </wp14:sizeRelV>
        </wp:anchor>
      </w:drawing>
    </w:r>
    <w:r w:rsidR="00FB61FC">
      <w:pict>
        <v:line id="_x0000_s2051" style="position:absolute;z-index:-29080;mso-position-horizontal-relative:page;mso-position-vertical-relative:page" from="68.75pt,790.1pt" to="526pt,790.1pt" strokeweight=".18403mm">
          <w10:wrap anchorx="page" anchory="page"/>
        </v:line>
      </w:pict>
    </w:r>
    <w:r w:rsidR="00FB61FC">
      <w:pict>
        <v:shapetype id="_x0000_t202" coordsize="21600,21600" o:spt="202" path="m,l,21600r21600,l21600,xe">
          <v:stroke joinstyle="miter"/>
          <v:path gradientshapeok="t" o:connecttype="rect"/>
        </v:shapetype>
        <v:shape id="_x0000_s2050" type="#_x0000_t202" style="position:absolute;margin-left:108pt;margin-top:799.75pt;width:361.8pt;height:28.65pt;z-index:-29056;mso-position-horizontal-relative:page;mso-position-vertical-relative:page" filled="f" stroked="f">
          <v:textbox inset="0,0,0,0">
            <w:txbxContent>
              <w:p w:rsidR="00FA63A5" w:rsidRDefault="00FA63A5">
                <w:pPr>
                  <w:spacing w:line="181" w:lineRule="exact"/>
                  <w:ind w:left="1580"/>
                  <w:rPr>
                    <w:sz w:val="16"/>
                  </w:rPr>
                </w:pPr>
              </w:p>
            </w:txbxContent>
          </v:textbox>
          <w10:wrap anchorx="page" anchory="page"/>
        </v:shape>
      </w:pict>
    </w:r>
    <w:r w:rsidR="00FB61FC">
      <w:pict>
        <v:shape id="_x0000_s2049" type="#_x0000_t202" style="position:absolute;margin-left:475.4pt;margin-top:800.55pt;width:53.05pt;height:10.05pt;z-index:-29032;mso-position-horizontal-relative:page;mso-position-vertical-relative:page" filled="f" stroked="f">
          <v:textbox inset="0,0,0,0">
            <w:txbxContent>
              <w:p w:rsidR="00FA63A5" w:rsidRDefault="00FA63A5">
                <w:pPr>
                  <w:ind w:left="20"/>
                  <w:rPr>
                    <w:b/>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1FC" w:rsidRDefault="00FB61FC">
      <w:r>
        <w:separator/>
      </w:r>
    </w:p>
  </w:footnote>
  <w:footnote w:type="continuationSeparator" w:id="0">
    <w:p w:rsidR="00FB61FC" w:rsidRDefault="00FB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3A5" w:rsidRDefault="00FA63A5">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9087A"/>
    <w:multiLevelType w:val="hybridMultilevel"/>
    <w:tmpl w:val="5416574E"/>
    <w:lvl w:ilvl="0" w:tplc="77ECFF14">
      <w:start w:val="1"/>
      <w:numFmt w:val="lowerLetter"/>
      <w:lvlText w:val="%1."/>
      <w:lvlJc w:val="left"/>
      <w:pPr>
        <w:ind w:left="1854" w:hanging="360"/>
      </w:pPr>
      <w:rPr>
        <w:rFonts w:hint="default"/>
      </w:rPr>
    </w:lvl>
    <w:lvl w:ilvl="1" w:tplc="042A0019" w:tentative="1">
      <w:start w:val="1"/>
      <w:numFmt w:val="lowerLetter"/>
      <w:lvlText w:val="%2."/>
      <w:lvlJc w:val="left"/>
      <w:pPr>
        <w:ind w:left="2574" w:hanging="360"/>
      </w:pPr>
    </w:lvl>
    <w:lvl w:ilvl="2" w:tplc="042A001B" w:tentative="1">
      <w:start w:val="1"/>
      <w:numFmt w:val="lowerRoman"/>
      <w:lvlText w:val="%3."/>
      <w:lvlJc w:val="right"/>
      <w:pPr>
        <w:ind w:left="3294" w:hanging="180"/>
      </w:pPr>
    </w:lvl>
    <w:lvl w:ilvl="3" w:tplc="042A000F" w:tentative="1">
      <w:start w:val="1"/>
      <w:numFmt w:val="decimal"/>
      <w:lvlText w:val="%4."/>
      <w:lvlJc w:val="left"/>
      <w:pPr>
        <w:ind w:left="4014" w:hanging="360"/>
      </w:pPr>
    </w:lvl>
    <w:lvl w:ilvl="4" w:tplc="042A0019" w:tentative="1">
      <w:start w:val="1"/>
      <w:numFmt w:val="lowerLetter"/>
      <w:lvlText w:val="%5."/>
      <w:lvlJc w:val="left"/>
      <w:pPr>
        <w:ind w:left="4734" w:hanging="360"/>
      </w:pPr>
    </w:lvl>
    <w:lvl w:ilvl="5" w:tplc="042A001B" w:tentative="1">
      <w:start w:val="1"/>
      <w:numFmt w:val="lowerRoman"/>
      <w:lvlText w:val="%6."/>
      <w:lvlJc w:val="right"/>
      <w:pPr>
        <w:ind w:left="5454" w:hanging="180"/>
      </w:pPr>
    </w:lvl>
    <w:lvl w:ilvl="6" w:tplc="042A000F" w:tentative="1">
      <w:start w:val="1"/>
      <w:numFmt w:val="decimal"/>
      <w:lvlText w:val="%7."/>
      <w:lvlJc w:val="left"/>
      <w:pPr>
        <w:ind w:left="6174" w:hanging="360"/>
      </w:pPr>
    </w:lvl>
    <w:lvl w:ilvl="7" w:tplc="042A0019" w:tentative="1">
      <w:start w:val="1"/>
      <w:numFmt w:val="lowerLetter"/>
      <w:lvlText w:val="%8."/>
      <w:lvlJc w:val="left"/>
      <w:pPr>
        <w:ind w:left="6894" w:hanging="360"/>
      </w:pPr>
    </w:lvl>
    <w:lvl w:ilvl="8" w:tplc="042A001B" w:tentative="1">
      <w:start w:val="1"/>
      <w:numFmt w:val="lowerRoman"/>
      <w:lvlText w:val="%9."/>
      <w:lvlJc w:val="right"/>
      <w:pPr>
        <w:ind w:left="7614" w:hanging="180"/>
      </w:pPr>
    </w:lvl>
  </w:abstractNum>
  <w:abstractNum w:abstractNumId="1" w15:restartNumberingAfterBreak="0">
    <w:nsid w:val="37520061"/>
    <w:multiLevelType w:val="hybridMultilevel"/>
    <w:tmpl w:val="26B69BBA"/>
    <w:lvl w:ilvl="0" w:tplc="0FC43002">
      <w:start w:val="1"/>
      <w:numFmt w:val="decimal"/>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2" w15:restartNumberingAfterBreak="0">
    <w:nsid w:val="5F5E6E37"/>
    <w:multiLevelType w:val="hybridMultilevel"/>
    <w:tmpl w:val="803E6C6C"/>
    <w:lvl w:ilvl="0" w:tplc="0BB6A53C">
      <w:start w:val="1"/>
      <w:numFmt w:val="lowerLetter"/>
      <w:lvlText w:val="%1."/>
      <w:lvlJc w:val="left"/>
      <w:pPr>
        <w:ind w:left="1854" w:hanging="360"/>
      </w:pPr>
      <w:rPr>
        <w:rFonts w:hint="default"/>
      </w:rPr>
    </w:lvl>
    <w:lvl w:ilvl="1" w:tplc="042A0019" w:tentative="1">
      <w:start w:val="1"/>
      <w:numFmt w:val="lowerLetter"/>
      <w:lvlText w:val="%2."/>
      <w:lvlJc w:val="left"/>
      <w:pPr>
        <w:ind w:left="2574" w:hanging="360"/>
      </w:pPr>
    </w:lvl>
    <w:lvl w:ilvl="2" w:tplc="042A001B" w:tentative="1">
      <w:start w:val="1"/>
      <w:numFmt w:val="lowerRoman"/>
      <w:lvlText w:val="%3."/>
      <w:lvlJc w:val="right"/>
      <w:pPr>
        <w:ind w:left="3294" w:hanging="180"/>
      </w:pPr>
    </w:lvl>
    <w:lvl w:ilvl="3" w:tplc="042A000F" w:tentative="1">
      <w:start w:val="1"/>
      <w:numFmt w:val="decimal"/>
      <w:lvlText w:val="%4."/>
      <w:lvlJc w:val="left"/>
      <w:pPr>
        <w:ind w:left="4014" w:hanging="360"/>
      </w:pPr>
    </w:lvl>
    <w:lvl w:ilvl="4" w:tplc="042A0019" w:tentative="1">
      <w:start w:val="1"/>
      <w:numFmt w:val="lowerLetter"/>
      <w:lvlText w:val="%5."/>
      <w:lvlJc w:val="left"/>
      <w:pPr>
        <w:ind w:left="4734" w:hanging="360"/>
      </w:pPr>
    </w:lvl>
    <w:lvl w:ilvl="5" w:tplc="042A001B" w:tentative="1">
      <w:start w:val="1"/>
      <w:numFmt w:val="lowerRoman"/>
      <w:lvlText w:val="%6."/>
      <w:lvlJc w:val="right"/>
      <w:pPr>
        <w:ind w:left="5454" w:hanging="180"/>
      </w:pPr>
    </w:lvl>
    <w:lvl w:ilvl="6" w:tplc="042A000F" w:tentative="1">
      <w:start w:val="1"/>
      <w:numFmt w:val="decimal"/>
      <w:lvlText w:val="%7."/>
      <w:lvlJc w:val="left"/>
      <w:pPr>
        <w:ind w:left="6174" w:hanging="360"/>
      </w:pPr>
    </w:lvl>
    <w:lvl w:ilvl="7" w:tplc="042A0019" w:tentative="1">
      <w:start w:val="1"/>
      <w:numFmt w:val="lowerLetter"/>
      <w:lvlText w:val="%8."/>
      <w:lvlJc w:val="left"/>
      <w:pPr>
        <w:ind w:left="6894" w:hanging="360"/>
      </w:pPr>
    </w:lvl>
    <w:lvl w:ilvl="8" w:tplc="042A001B" w:tentative="1">
      <w:start w:val="1"/>
      <w:numFmt w:val="lowerRoman"/>
      <w:lvlText w:val="%9."/>
      <w:lvlJc w:val="right"/>
      <w:pPr>
        <w:ind w:left="761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618A0"/>
    <w:rsid w:val="0001062C"/>
    <w:rsid w:val="00143325"/>
    <w:rsid w:val="001F499B"/>
    <w:rsid w:val="002B68DE"/>
    <w:rsid w:val="002D0B2D"/>
    <w:rsid w:val="003C38AE"/>
    <w:rsid w:val="003C4613"/>
    <w:rsid w:val="003F4B1F"/>
    <w:rsid w:val="0041779E"/>
    <w:rsid w:val="00477B8F"/>
    <w:rsid w:val="004A228B"/>
    <w:rsid w:val="004A3836"/>
    <w:rsid w:val="004A41BB"/>
    <w:rsid w:val="00630E75"/>
    <w:rsid w:val="00640FF1"/>
    <w:rsid w:val="00653231"/>
    <w:rsid w:val="00695D90"/>
    <w:rsid w:val="00744180"/>
    <w:rsid w:val="0075438A"/>
    <w:rsid w:val="007618A0"/>
    <w:rsid w:val="007B15C1"/>
    <w:rsid w:val="008A71A0"/>
    <w:rsid w:val="00974FD4"/>
    <w:rsid w:val="009F2D61"/>
    <w:rsid w:val="00A02CEB"/>
    <w:rsid w:val="00BF63BF"/>
    <w:rsid w:val="00CA395B"/>
    <w:rsid w:val="00D2328D"/>
    <w:rsid w:val="00D63246"/>
    <w:rsid w:val="00DB52FF"/>
    <w:rsid w:val="00DD13E9"/>
    <w:rsid w:val="00DE0F7D"/>
    <w:rsid w:val="00E31534"/>
    <w:rsid w:val="00E806D4"/>
    <w:rsid w:val="00FA63A5"/>
    <w:rsid w:val="00FB122D"/>
    <w:rsid w:val="00FB61FC"/>
    <w:rsid w:val="00FD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B73460"/>
  <w15:docId w15:val="{17A2856A-5359-41E7-8E0D-AB4EA6F1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7" w:right="2589"/>
      <w:outlineLvl w:val="0"/>
    </w:pPr>
    <w:rPr>
      <w:rFonts w:ascii="Gill Sans MT" w:eastAsia="Gill Sans MT" w:hAnsi="Gill Sans MT" w:cs="Gill Sans M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4"/>
      <w:ind w:left="26"/>
    </w:pPr>
  </w:style>
  <w:style w:type="paragraph" w:styleId="Header">
    <w:name w:val="header"/>
    <w:basedOn w:val="Normal"/>
    <w:link w:val="HeaderChar"/>
    <w:uiPriority w:val="99"/>
    <w:unhideWhenUsed/>
    <w:rsid w:val="0001062C"/>
    <w:pPr>
      <w:tabs>
        <w:tab w:val="center" w:pos="4680"/>
        <w:tab w:val="right" w:pos="9360"/>
      </w:tabs>
    </w:pPr>
  </w:style>
  <w:style w:type="character" w:customStyle="1" w:styleId="HeaderChar">
    <w:name w:val="Header Char"/>
    <w:basedOn w:val="DefaultParagraphFont"/>
    <w:link w:val="Header"/>
    <w:uiPriority w:val="99"/>
    <w:rsid w:val="0001062C"/>
    <w:rPr>
      <w:rFonts w:ascii="Arial" w:eastAsia="Arial" w:hAnsi="Arial" w:cs="Arial"/>
    </w:rPr>
  </w:style>
  <w:style w:type="paragraph" w:styleId="Footer">
    <w:name w:val="footer"/>
    <w:basedOn w:val="Normal"/>
    <w:link w:val="FooterChar"/>
    <w:uiPriority w:val="99"/>
    <w:unhideWhenUsed/>
    <w:rsid w:val="0001062C"/>
    <w:pPr>
      <w:tabs>
        <w:tab w:val="center" w:pos="4680"/>
        <w:tab w:val="right" w:pos="9360"/>
      </w:tabs>
    </w:pPr>
  </w:style>
  <w:style w:type="character" w:customStyle="1" w:styleId="FooterChar">
    <w:name w:val="Footer Char"/>
    <w:basedOn w:val="DefaultParagraphFont"/>
    <w:link w:val="Footer"/>
    <w:uiPriority w:val="99"/>
    <w:rsid w:val="0001062C"/>
    <w:rPr>
      <w:rFonts w:ascii="Arial" w:eastAsia="Arial" w:hAnsi="Arial" w:cs="Arial"/>
    </w:rPr>
  </w:style>
  <w:style w:type="character" w:styleId="Hyperlink">
    <w:name w:val="Hyperlink"/>
    <w:basedOn w:val="DefaultParagraphFont"/>
    <w:uiPriority w:val="99"/>
    <w:unhideWhenUsed/>
    <w:rsid w:val="008A71A0"/>
    <w:rPr>
      <w:color w:val="0000FF" w:themeColor="hyperlink"/>
      <w:u w:val="single"/>
    </w:rPr>
  </w:style>
  <w:style w:type="character" w:styleId="UnresolvedMention">
    <w:name w:val="Unresolved Mention"/>
    <w:basedOn w:val="DefaultParagraphFont"/>
    <w:uiPriority w:val="99"/>
    <w:semiHidden/>
    <w:unhideWhenUsed/>
    <w:rsid w:val="008A7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513258">
      <w:bodyDiv w:val="1"/>
      <w:marLeft w:val="0"/>
      <w:marRight w:val="0"/>
      <w:marTop w:val="0"/>
      <w:marBottom w:val="0"/>
      <w:divBdr>
        <w:top w:val="none" w:sz="0" w:space="0" w:color="auto"/>
        <w:left w:val="none" w:sz="0" w:space="0" w:color="auto"/>
        <w:bottom w:val="none" w:sz="0" w:space="0" w:color="auto"/>
        <w:right w:val="none" w:sz="0" w:space="0" w:color="auto"/>
      </w:divBdr>
      <w:divsChild>
        <w:div w:id="1687319091">
          <w:marLeft w:val="0"/>
          <w:marRight w:val="0"/>
          <w:marTop w:val="0"/>
          <w:marBottom w:val="0"/>
          <w:divBdr>
            <w:top w:val="none" w:sz="0" w:space="0" w:color="auto"/>
            <w:left w:val="none" w:sz="0" w:space="0" w:color="auto"/>
            <w:bottom w:val="none" w:sz="0" w:space="0" w:color="auto"/>
            <w:right w:val="none" w:sz="0" w:space="0" w:color="auto"/>
          </w:divBdr>
        </w:div>
        <w:div w:id="1211113082">
          <w:marLeft w:val="0"/>
          <w:marRight w:val="0"/>
          <w:marTop w:val="0"/>
          <w:marBottom w:val="0"/>
          <w:divBdr>
            <w:top w:val="none" w:sz="0" w:space="0" w:color="auto"/>
            <w:left w:val="none" w:sz="0" w:space="0" w:color="auto"/>
            <w:bottom w:val="none" w:sz="0" w:space="0" w:color="auto"/>
            <w:right w:val="none" w:sz="0" w:space="0" w:color="auto"/>
          </w:divBdr>
        </w:div>
      </w:divsChild>
    </w:div>
    <w:div w:id="1274746884">
      <w:bodyDiv w:val="1"/>
      <w:marLeft w:val="0"/>
      <w:marRight w:val="0"/>
      <w:marTop w:val="0"/>
      <w:marBottom w:val="0"/>
      <w:divBdr>
        <w:top w:val="none" w:sz="0" w:space="0" w:color="auto"/>
        <w:left w:val="none" w:sz="0" w:space="0" w:color="auto"/>
        <w:bottom w:val="none" w:sz="0" w:space="0" w:color="auto"/>
        <w:right w:val="none" w:sz="0" w:space="0" w:color="auto"/>
      </w:divBdr>
      <w:divsChild>
        <w:div w:id="918294778">
          <w:marLeft w:val="0"/>
          <w:marRight w:val="0"/>
          <w:marTop w:val="0"/>
          <w:marBottom w:val="0"/>
          <w:divBdr>
            <w:top w:val="none" w:sz="0" w:space="0" w:color="auto"/>
            <w:left w:val="none" w:sz="0" w:space="0" w:color="auto"/>
            <w:bottom w:val="none" w:sz="0" w:space="0" w:color="auto"/>
            <w:right w:val="none" w:sz="0" w:space="0" w:color="auto"/>
          </w:divBdr>
        </w:div>
        <w:div w:id="1655182429">
          <w:marLeft w:val="0"/>
          <w:marRight w:val="0"/>
          <w:marTop w:val="0"/>
          <w:marBottom w:val="0"/>
          <w:divBdr>
            <w:top w:val="none" w:sz="0" w:space="0" w:color="auto"/>
            <w:left w:val="none" w:sz="0" w:space="0" w:color="auto"/>
            <w:bottom w:val="none" w:sz="0" w:space="0" w:color="auto"/>
            <w:right w:val="none" w:sz="0" w:space="0" w:color="auto"/>
          </w:divBdr>
        </w:div>
      </w:divsChild>
    </w:div>
    <w:div w:id="1354769308">
      <w:bodyDiv w:val="1"/>
      <w:marLeft w:val="0"/>
      <w:marRight w:val="0"/>
      <w:marTop w:val="0"/>
      <w:marBottom w:val="0"/>
      <w:divBdr>
        <w:top w:val="none" w:sz="0" w:space="0" w:color="auto"/>
        <w:left w:val="none" w:sz="0" w:space="0" w:color="auto"/>
        <w:bottom w:val="none" w:sz="0" w:space="0" w:color="auto"/>
        <w:right w:val="none" w:sz="0" w:space="0" w:color="auto"/>
      </w:divBdr>
      <w:divsChild>
        <w:div w:id="131556070">
          <w:marLeft w:val="0"/>
          <w:marRight w:val="0"/>
          <w:marTop w:val="0"/>
          <w:marBottom w:val="0"/>
          <w:divBdr>
            <w:top w:val="none" w:sz="0" w:space="0" w:color="auto"/>
            <w:left w:val="none" w:sz="0" w:space="0" w:color="auto"/>
            <w:bottom w:val="none" w:sz="0" w:space="0" w:color="auto"/>
            <w:right w:val="none" w:sz="0" w:space="0" w:color="auto"/>
          </w:divBdr>
        </w:div>
        <w:div w:id="857961072">
          <w:marLeft w:val="0"/>
          <w:marRight w:val="0"/>
          <w:marTop w:val="0"/>
          <w:marBottom w:val="0"/>
          <w:divBdr>
            <w:top w:val="none" w:sz="0" w:space="0" w:color="auto"/>
            <w:left w:val="none" w:sz="0" w:space="0" w:color="auto"/>
            <w:bottom w:val="none" w:sz="0" w:space="0" w:color="auto"/>
            <w:right w:val="none" w:sz="0" w:space="0" w:color="auto"/>
          </w:divBdr>
        </w:div>
      </w:divsChild>
    </w:div>
    <w:div w:id="1974825520">
      <w:bodyDiv w:val="1"/>
      <w:marLeft w:val="0"/>
      <w:marRight w:val="0"/>
      <w:marTop w:val="0"/>
      <w:marBottom w:val="0"/>
      <w:divBdr>
        <w:top w:val="none" w:sz="0" w:space="0" w:color="auto"/>
        <w:left w:val="none" w:sz="0" w:space="0" w:color="auto"/>
        <w:bottom w:val="none" w:sz="0" w:space="0" w:color="auto"/>
        <w:right w:val="none" w:sz="0" w:space="0" w:color="auto"/>
      </w:divBdr>
      <w:divsChild>
        <w:div w:id="178474068">
          <w:marLeft w:val="0"/>
          <w:marRight w:val="0"/>
          <w:marTop w:val="0"/>
          <w:marBottom w:val="0"/>
          <w:divBdr>
            <w:top w:val="none" w:sz="0" w:space="0" w:color="auto"/>
            <w:left w:val="none" w:sz="0" w:space="0" w:color="auto"/>
            <w:bottom w:val="none" w:sz="0" w:space="0" w:color="auto"/>
            <w:right w:val="none" w:sz="0" w:space="0" w:color="auto"/>
          </w:divBdr>
        </w:div>
        <w:div w:id="11569190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plication@randox.com" TargetMode="Externa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FlexCell Document</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FlexCell Document</dc:title>
  <dc:creator>patrickl</dc:creator>
  <cp:lastModifiedBy>Thi</cp:lastModifiedBy>
  <cp:revision>15</cp:revision>
  <dcterms:created xsi:type="dcterms:W3CDTF">2017-07-19T04:14:00Z</dcterms:created>
  <dcterms:modified xsi:type="dcterms:W3CDTF">2023-10-26T02:37:00Z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2017-04-11T00:00:00Z</vt:filetime>
  </property>
  <property fmtid="{D5CDD505-2E9C-101B-9397-08002B2CF9AE}" pid="3" name="Creator">
    <vt:lpwstr>Microsoft® Word 2010</vt:lpwstr>
  </property>
  <property fmtid="{D5CDD505-2E9C-101B-9397-08002B2CF9AE}" pid="4" name="LastSaved">
    <vt:filetime>2017-07-19T00:00:00Z</vt:filetime>
  </property>
</Properties>
</file>